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65" w:rsidRDefault="002D6965" w:rsidP="002D6965">
      <w:pPr>
        <w:pStyle w:val="NormalWeb"/>
        <w:spacing w:before="0" w:beforeAutospacing="0"/>
        <w:rPr>
          <w:rFonts w:ascii="Arial" w:hAnsi="Arial" w:cs="Arial"/>
          <w:color w:val="2C2D30"/>
          <w:sz w:val="26"/>
          <w:szCs w:val="26"/>
        </w:rPr>
      </w:pPr>
      <w:r>
        <w:rPr>
          <w:rFonts w:ascii="Arial" w:hAnsi="Arial" w:cs="Arial"/>
          <w:color w:val="2C2D30"/>
          <w:sz w:val="26"/>
          <w:szCs w:val="26"/>
        </w:rPr>
        <w:t>The U.S. Department of Health and Human Services Office of Civil Rights (OCR) recently announced that telehealth providers must have a Business Associate Agreement in place and telehealth services must be provided on a HIPAA-compliant program by January 21, 2021. The OCR has been aggressive (even during the COVID-19 pandemic) with investigating potential HIPAA violations and collecting significant fines. Covered Entities (medical providers and their Business Associates) will be exposed to HIPAA fines, if they do not return to pre-COVID norms and standards under HIPAA.</w:t>
      </w:r>
    </w:p>
    <w:p w:rsidR="002D6965" w:rsidRDefault="002D6965" w:rsidP="002D6965">
      <w:pPr>
        <w:pStyle w:val="NormalWeb"/>
        <w:spacing w:before="0" w:beforeAutospacing="0"/>
        <w:rPr>
          <w:rFonts w:ascii="Arial" w:hAnsi="Arial" w:cs="Arial"/>
          <w:color w:val="2C2D30"/>
          <w:sz w:val="26"/>
          <w:szCs w:val="26"/>
        </w:rPr>
      </w:pPr>
      <w:r>
        <w:rPr>
          <w:rFonts w:ascii="Arial" w:hAnsi="Arial" w:cs="Arial"/>
          <w:color w:val="2C2D30"/>
          <w:sz w:val="26"/>
          <w:szCs w:val="26"/>
        </w:rPr>
        <w:t>Before the COVID-19 pandemic, medical providers were required to use a HIPAA-compliant video platform for providing services via telehealth. As part of that requirement, Covered Entities were required to obtain a Business Associate Agreement with the video platform company. During the pandemic, the OCR loosened this requirement and allowed providers the opportunity to use a non-HIPAA compliant video platform – provided the platform was not public facing and the patient understood and consented to the risks. As a result, the requirement to obtain a Business Associate Agreement was waived until January 20, 2021.</w:t>
      </w:r>
    </w:p>
    <w:p w:rsidR="002D6965" w:rsidRDefault="002D6965" w:rsidP="002D6965">
      <w:pPr>
        <w:pStyle w:val="NormalWeb"/>
        <w:spacing w:before="0" w:beforeAutospacing="0"/>
        <w:rPr>
          <w:rFonts w:ascii="Arial" w:hAnsi="Arial" w:cs="Arial"/>
          <w:color w:val="2C2D30"/>
          <w:sz w:val="26"/>
          <w:szCs w:val="26"/>
        </w:rPr>
      </w:pPr>
      <w:r>
        <w:rPr>
          <w:rFonts w:ascii="Arial" w:hAnsi="Arial" w:cs="Arial"/>
          <w:color w:val="2C2D30"/>
          <w:sz w:val="26"/>
          <w:szCs w:val="26"/>
        </w:rPr>
        <w:t>Although the new Presidential Administration may elect to extend the waivers, we strongly recommend, if you are not yet using a HIPAA-compliant platform, to do so prior to January 21.</w:t>
      </w:r>
    </w:p>
    <w:p w:rsidR="00CE1A9E" w:rsidRDefault="002D6965">
      <w:bookmarkStart w:id="0" w:name="_GoBack"/>
      <w:bookmarkEnd w:id="0"/>
    </w:p>
    <w:sectPr w:rsidR="00CE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0"/>
    <w:rsid w:val="002D6965"/>
    <w:rsid w:val="00405CBE"/>
    <w:rsid w:val="00592E54"/>
    <w:rsid w:val="00884010"/>
    <w:rsid w:val="00993F70"/>
    <w:rsid w:val="009B4AFC"/>
    <w:rsid w:val="00DF4333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1314F-4B10-48C6-AE3C-B2DA389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96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Kirkpatrick</dc:creator>
  <cp:keywords/>
  <dc:description/>
  <cp:lastModifiedBy>Jamie Kirkpatrick</cp:lastModifiedBy>
  <cp:revision>3</cp:revision>
  <dcterms:created xsi:type="dcterms:W3CDTF">2021-01-11T17:17:00Z</dcterms:created>
  <dcterms:modified xsi:type="dcterms:W3CDTF">2021-01-11T17:25:00Z</dcterms:modified>
</cp:coreProperties>
</file>